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8CF4A7-6C25-4BAC-9384-883D5EAE3CED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